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B76585" w:rsidRPr="00B76585" w:rsidTr="00B7658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B76585" w:rsidRPr="00B76585">
                          <w:trPr>
                            <w:trHeight w:val="416"/>
                            <w:tblCellSpacing w:w="0" w:type="dxa"/>
                          </w:trPr>
                          <w:tc>
                            <w:tcPr>
                              <w:tcW w:w="8535" w:type="dxa"/>
                              <w:tcBorders>
                                <w:top w:val="double" w:sz="12" w:space="0" w:color="4B0049"/>
                                <w:left w:val="double" w:sz="12" w:space="0" w:color="4B0049"/>
                                <w:right w:val="double" w:sz="12" w:space="0" w:color="4B0049"/>
                              </w:tcBorders>
                              <w:shd w:val="clear" w:color="auto" w:fill="BC8DBF"/>
                              <w:tcMar>
                                <w:top w:w="0" w:type="dxa"/>
                                <w:left w:w="300" w:type="dxa"/>
                                <w:bottom w:w="0" w:type="dxa"/>
                                <w:right w:w="0" w:type="dxa"/>
                              </w:tcMar>
                              <w:hideMark/>
                            </w:tcPr>
                            <w:p w:rsidR="00B76585" w:rsidRPr="00B76585" w:rsidRDefault="00B76585" w:rsidP="00B76585">
                              <w:pPr>
                                <w:spacing w:after="210" w:line="240" w:lineRule="auto"/>
                                <w:jc w:val="center"/>
                                <w:rPr>
                                  <w:rFonts w:ascii="Times New Roman" w:eastAsia="Times New Roman" w:hAnsi="Times New Roman" w:cs="Times New Roman"/>
                                  <w:i/>
                                  <w:iCs/>
                                  <w:sz w:val="20"/>
                                  <w:szCs w:val="20"/>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B76585" w:rsidRPr="00B76585">
                          <w:trPr>
                            <w:trHeight w:val="3322"/>
                            <w:tblCellSpacing w:w="0" w:type="dxa"/>
                          </w:trPr>
                          <w:tc>
                            <w:tcPr>
                              <w:tcW w:w="8250" w:type="dxa"/>
                              <w:tcBorders>
                                <w:left w:val="double" w:sz="12" w:space="0" w:color="32004B"/>
                                <w:bottom w:val="double" w:sz="12" w:space="0" w:color="32004B"/>
                                <w:right w:val="double" w:sz="12" w:space="0" w:color="32004B"/>
                              </w:tcBorders>
                              <w:shd w:val="clear" w:color="auto" w:fill="BC8DBF"/>
                              <w:tcMar>
                                <w:top w:w="210" w:type="dxa"/>
                                <w:left w:w="300" w:type="dxa"/>
                                <w:bottom w:w="0" w:type="dxa"/>
                                <w:right w:w="300" w:type="dxa"/>
                              </w:tcMar>
                              <w:hideMark/>
                            </w:tcPr>
                            <w:p w:rsidR="00B76585" w:rsidRPr="00B76585" w:rsidRDefault="00B76585" w:rsidP="00B76585">
                              <w:pPr>
                                <w:spacing w:after="210" w:line="240" w:lineRule="auto"/>
                                <w:outlineLvl w:val="0"/>
                                <w:rPr>
                                  <w:rFonts w:ascii="Times New Roman" w:eastAsia="Times New Roman" w:hAnsi="Times New Roman" w:cs="Times New Roman"/>
                                  <w:b/>
                                  <w:bCs/>
                                  <w:kern w:val="36"/>
                                  <w:sz w:val="54"/>
                                  <w:szCs w:val="54"/>
                                </w:rPr>
                              </w:pPr>
                              <w:r w:rsidRPr="00B76585">
                                <w:rPr>
                                  <w:rFonts w:ascii="Times New Roman" w:eastAsia="Times New Roman" w:hAnsi="Times New Roman" w:cs="Times New Roman"/>
                                  <w:b/>
                                  <w:bCs/>
                                  <w:i/>
                                  <w:iCs/>
                                  <w:kern w:val="36"/>
                                  <w:sz w:val="36"/>
                                  <w:szCs w:val="36"/>
                                </w:rPr>
                                <w:t>     The Virginia Council of Mathematics Specialists</w:t>
                              </w:r>
                            </w:p>
                            <w:p w:rsidR="00B76585" w:rsidRPr="00B76585" w:rsidRDefault="00B76585" w:rsidP="00B76585">
                              <w:pPr>
                                <w:spacing w:after="210" w:line="240" w:lineRule="auto"/>
                                <w:jc w:val="center"/>
                                <w:outlineLvl w:val="0"/>
                                <w:rPr>
                                  <w:rFonts w:ascii="Times New Roman" w:eastAsia="Times New Roman" w:hAnsi="Times New Roman" w:cs="Times New Roman"/>
                                  <w:b/>
                                  <w:bCs/>
                                  <w:kern w:val="36"/>
                                  <w:sz w:val="54"/>
                                  <w:szCs w:val="54"/>
                                </w:rPr>
                              </w:pPr>
                              <w:r w:rsidRPr="00B76585">
                                <w:rPr>
                                  <w:rFonts w:ascii="Times New Roman" w:eastAsia="Times New Roman" w:hAnsi="Times New Roman" w:cs="Times New Roman"/>
                                  <w:b/>
                                  <w:bCs/>
                                  <w:kern w:val="36"/>
                                  <w:sz w:val="54"/>
                                  <w:szCs w:val="54"/>
                                </w:rPr>
                                <w:t>Members' Newsletter</w:t>
                              </w:r>
                            </w:p>
                            <w:p w:rsidR="00B76585" w:rsidRPr="00B76585" w:rsidRDefault="00B76585" w:rsidP="00B76585">
                              <w:pPr>
                                <w:spacing w:after="0" w:line="240" w:lineRule="auto"/>
                                <w:jc w:val="center"/>
                                <w:rPr>
                                  <w:rFonts w:ascii="Times New Roman" w:eastAsia="Times New Roman" w:hAnsi="Times New Roman" w:cs="Times New Roman"/>
                                  <w:sz w:val="24"/>
                                  <w:szCs w:val="24"/>
                                </w:rPr>
                              </w:pPr>
                              <w:r w:rsidRPr="00B76585">
                                <w:rPr>
                                  <w:rFonts w:ascii="Times New Roman" w:eastAsia="Times New Roman" w:hAnsi="Times New Roman" w:cs="Times New Roman"/>
                                  <w:noProof/>
                                  <w:sz w:val="54"/>
                                  <w:szCs w:val="5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752475"/>
                                    <wp:effectExtent l="0" t="0" r="9525" b="9525"/>
                                    <wp:wrapSquare wrapText="bothSides"/>
                                    <wp:docPr id="5" name="Picture 5" descr="http://vacms.org/resources/Pictures/VACMS%20logo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cms.org/resources/Pictures/VACMS%20logo3s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585" w:rsidRPr="00B76585" w:rsidRDefault="00B76585" w:rsidP="00B76585">
                              <w:pPr>
                                <w:spacing w:after="0" w:line="240" w:lineRule="auto"/>
                                <w:jc w:val="center"/>
                                <w:rPr>
                                  <w:rFonts w:ascii="Times New Roman" w:eastAsia="Times New Roman" w:hAnsi="Times New Roman" w:cs="Times New Roman"/>
                                  <w:sz w:val="24"/>
                                  <w:szCs w:val="24"/>
                                </w:rPr>
                              </w:pPr>
                            </w:p>
                            <w:p w:rsidR="00B76585" w:rsidRPr="00B76585" w:rsidRDefault="00B76585" w:rsidP="00B76585">
                              <w:pPr>
                                <w:spacing w:after="0" w:line="240" w:lineRule="auto"/>
                                <w:rPr>
                                  <w:rFonts w:ascii="Times New Roman" w:eastAsia="Times New Roman" w:hAnsi="Times New Roman" w:cs="Times New Roman"/>
                                  <w:sz w:val="24"/>
                                  <w:szCs w:val="24"/>
                                </w:rPr>
                              </w:pPr>
                            </w:p>
                            <w:p w:rsidR="00B76585" w:rsidRPr="00B76585" w:rsidRDefault="00B76585" w:rsidP="00B76585">
                              <w:pPr>
                                <w:spacing w:after="0" w:line="240" w:lineRule="auto"/>
                                <w:rPr>
                                  <w:rFonts w:ascii="Times New Roman" w:eastAsia="Times New Roman" w:hAnsi="Times New Roman" w:cs="Times New Roman"/>
                                  <w:sz w:val="24"/>
                                  <w:szCs w:val="24"/>
                                </w:rPr>
                              </w:pPr>
                            </w:p>
                            <w:p w:rsidR="00B76585" w:rsidRPr="00B76585" w:rsidRDefault="00B76585" w:rsidP="00B76585">
                              <w:pPr>
                                <w:spacing w:after="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15"/>
                                  <w:szCs w:val="15"/>
                                </w:rPr>
                                <w:t>September 2017</w:t>
                              </w:r>
                            </w:p>
                            <w:p w:rsidR="00B76585" w:rsidRPr="00B76585" w:rsidRDefault="00B76585" w:rsidP="00B76585">
                              <w:pPr>
                                <w:spacing w:after="210" w:line="240" w:lineRule="auto"/>
                                <w:outlineLvl w:val="0"/>
                                <w:rPr>
                                  <w:rFonts w:ascii="Times New Roman" w:eastAsia="Times New Roman" w:hAnsi="Times New Roman" w:cs="Times New Roman"/>
                                  <w:b/>
                                  <w:bCs/>
                                  <w:kern w:val="36"/>
                                  <w:sz w:val="54"/>
                                  <w:szCs w:val="54"/>
                                </w:rPr>
                              </w:pPr>
                              <w:r w:rsidRPr="00B76585">
                                <w:rPr>
                                  <w:rFonts w:ascii="Times New Roman" w:eastAsia="Times New Roman" w:hAnsi="Times New Roman" w:cs="Times New Roman"/>
                                  <w:b/>
                                  <w:bCs/>
                                  <w:i/>
                                  <w:iCs/>
                                  <w:kern w:val="36"/>
                                  <w:sz w:val="36"/>
                                  <w:szCs w:val="36"/>
                                </w:rPr>
                                <w:t>The Virginia Council of Mathematics Specialists</w:t>
                              </w:r>
                            </w:p>
                            <w:p w:rsidR="00B76585" w:rsidRPr="00B76585" w:rsidRDefault="00B76585" w:rsidP="00B76585">
                              <w:pPr>
                                <w:spacing w:after="210" w:line="240" w:lineRule="auto"/>
                                <w:jc w:val="center"/>
                                <w:outlineLvl w:val="0"/>
                                <w:rPr>
                                  <w:rFonts w:ascii="Times New Roman" w:eastAsia="Times New Roman" w:hAnsi="Times New Roman" w:cs="Times New Roman"/>
                                  <w:b/>
                                  <w:bCs/>
                                  <w:kern w:val="36"/>
                                  <w:sz w:val="54"/>
                                  <w:szCs w:val="54"/>
                                </w:rPr>
                              </w:pPr>
                              <w:r w:rsidRPr="00B76585">
                                <w:rPr>
                                  <w:rFonts w:ascii="Times New Roman" w:eastAsia="Times New Roman" w:hAnsi="Times New Roman" w:cs="Times New Roman"/>
                                  <w:b/>
                                  <w:bCs/>
                                  <w:kern w:val="36"/>
                                  <w:sz w:val="54"/>
                                  <w:szCs w:val="54"/>
                                </w:rPr>
                                <w:t>Members' Newsletter</w:t>
                              </w: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B76585" w:rsidRPr="00B76585">
                          <w:trPr>
                            <w:trHeight w:val="6033"/>
                            <w:tblCellSpacing w:w="0" w:type="dxa"/>
                          </w:trPr>
                          <w:tc>
                            <w:tcPr>
                              <w:tcW w:w="8340" w:type="dxa"/>
                              <w:tcBorders>
                                <w:left w:val="single" w:sz="12" w:space="0" w:color="000000"/>
                                <w:right w:val="single" w:sz="12" w:space="0" w:color="000000"/>
                              </w:tcBorders>
                              <w:shd w:val="clear" w:color="auto" w:fill="FFFFFF"/>
                              <w:tcMar>
                                <w:top w:w="210" w:type="dxa"/>
                                <w:left w:w="300" w:type="dxa"/>
                                <w:bottom w:w="0" w:type="dxa"/>
                                <w:right w:w="300" w:type="dxa"/>
                              </w:tcMar>
                              <w:hideMark/>
                            </w:tcPr>
                            <w:p w:rsidR="00B76585" w:rsidRPr="00B76585" w:rsidRDefault="00B76585" w:rsidP="00B76585">
                              <w:pPr>
                                <w:spacing w:after="180" w:line="240" w:lineRule="auto"/>
                                <w:outlineLvl w:val="3"/>
                                <w:rPr>
                                  <w:rFonts w:ascii="Times New Roman" w:eastAsia="Times New Roman" w:hAnsi="Times New Roman" w:cs="Times New Roman"/>
                                  <w:b/>
                                  <w:bCs/>
                                  <w:sz w:val="27"/>
                                  <w:szCs w:val="27"/>
                                </w:rPr>
                              </w:pPr>
                              <w:r w:rsidRPr="00B76585">
                                <w:rPr>
                                  <w:rFonts w:ascii="Times New Roman" w:eastAsia="Times New Roman" w:hAnsi="Times New Roman" w:cs="Times New Roman"/>
                                  <w:b/>
                                  <w:bCs/>
                                  <w:i/>
                                  <w:iCs/>
                                  <w:sz w:val="27"/>
                                  <w:szCs w:val="27"/>
                                  <w:u w:val="single"/>
                                </w:rPr>
                                <w:t>The President's Corner</w:t>
                              </w:r>
                            </w:p>
                            <w:p w:rsidR="00B76585" w:rsidRPr="00B76585" w:rsidRDefault="00B76585" w:rsidP="00B76585">
                              <w:pPr>
                                <w:spacing w:after="210" w:line="240" w:lineRule="auto"/>
                                <w:rPr>
                                  <w:rFonts w:ascii="Times New Roman" w:eastAsia="Times New Roman" w:hAnsi="Times New Roman" w:cs="Times New Roman"/>
                                  <w:sz w:val="24"/>
                                  <w:szCs w:val="24"/>
                                </w:rPr>
                              </w:pPr>
                              <w:proofErr w:type="spellStart"/>
                              <w:r w:rsidRPr="00B76585">
                                <w:rPr>
                                  <w:rFonts w:ascii="Times New Roman" w:eastAsia="Times New Roman" w:hAnsi="Times New Roman" w:cs="Times New Roman"/>
                                  <w:sz w:val="24"/>
                                  <w:szCs w:val="24"/>
                                </w:rPr>
                                <w:t>Althoughit</w:t>
                              </w:r>
                              <w:proofErr w:type="spellEnd"/>
                              <w:r w:rsidRPr="00B76585">
                                <w:rPr>
                                  <w:rFonts w:ascii="Times New Roman" w:eastAsia="Times New Roman" w:hAnsi="Times New Roman" w:cs="Times New Roman"/>
                                  <w:sz w:val="24"/>
                                  <w:szCs w:val="24"/>
                                </w:rPr>
                                <w:t xml:space="preserve"> sounds cliché, it is hard to believe summer is ending and a new school </w:t>
                              </w:r>
                              <w:proofErr w:type="spellStart"/>
                              <w:r w:rsidRPr="00B76585">
                                <w:rPr>
                                  <w:rFonts w:ascii="Times New Roman" w:eastAsia="Times New Roman" w:hAnsi="Times New Roman" w:cs="Times New Roman"/>
                                  <w:sz w:val="24"/>
                                  <w:szCs w:val="24"/>
                                </w:rPr>
                                <w:t>yearis</w:t>
                              </w:r>
                              <w:proofErr w:type="spellEnd"/>
                              <w:r w:rsidRPr="00B76585">
                                <w:rPr>
                                  <w:rFonts w:ascii="Times New Roman" w:eastAsia="Times New Roman" w:hAnsi="Times New Roman" w:cs="Times New Roman"/>
                                  <w:sz w:val="24"/>
                                  <w:szCs w:val="24"/>
                                </w:rPr>
                                <w:t xml:space="preserve"> beginning. This is a critical year for mathematics instruction as we </w:t>
                              </w:r>
                              <w:proofErr w:type="spellStart"/>
                              <w:r w:rsidRPr="00B76585">
                                <w:rPr>
                                  <w:rFonts w:ascii="Times New Roman" w:eastAsia="Times New Roman" w:hAnsi="Times New Roman" w:cs="Times New Roman"/>
                                  <w:sz w:val="24"/>
                                  <w:szCs w:val="24"/>
                                </w:rPr>
                                <w:t>aresupporting</w:t>
                              </w:r>
                              <w:proofErr w:type="spellEnd"/>
                              <w:r w:rsidRPr="00B76585">
                                <w:rPr>
                                  <w:rFonts w:ascii="Times New Roman" w:eastAsia="Times New Roman" w:hAnsi="Times New Roman" w:cs="Times New Roman"/>
                                  <w:sz w:val="24"/>
                                  <w:szCs w:val="24"/>
                                </w:rPr>
                                <w:t xml:space="preserve"> teachers as they teach in a crosswalk year.  How is your school division bringing in the2016 Standards of Learning? If you would like to learn about the new </w:t>
                              </w:r>
                              <w:proofErr w:type="spellStart"/>
                              <w:proofErr w:type="gramStart"/>
                              <w:r w:rsidRPr="00B76585">
                                <w:rPr>
                                  <w:rFonts w:ascii="Times New Roman" w:eastAsia="Times New Roman" w:hAnsi="Times New Roman" w:cs="Times New Roman"/>
                                  <w:sz w:val="24"/>
                                  <w:szCs w:val="24"/>
                                </w:rPr>
                                <w:t>standards,or</w:t>
                              </w:r>
                              <w:proofErr w:type="spellEnd"/>
                              <w:proofErr w:type="gramEnd"/>
                              <w:r w:rsidRPr="00B76585">
                                <w:rPr>
                                  <w:rFonts w:ascii="Times New Roman" w:eastAsia="Times New Roman" w:hAnsi="Times New Roman" w:cs="Times New Roman"/>
                                  <w:sz w:val="24"/>
                                  <w:szCs w:val="24"/>
                                </w:rPr>
                                <w:t xml:space="preserve"> network with other teacher leaders who are also implementing the </w:t>
                              </w:r>
                              <w:proofErr w:type="spellStart"/>
                              <w:r w:rsidRPr="00B76585">
                                <w:rPr>
                                  <w:rFonts w:ascii="Times New Roman" w:eastAsia="Times New Roman" w:hAnsi="Times New Roman" w:cs="Times New Roman"/>
                                  <w:sz w:val="24"/>
                                  <w:szCs w:val="24"/>
                                </w:rPr>
                                <w:t>standardsor</w:t>
                              </w:r>
                              <w:proofErr w:type="spellEnd"/>
                              <w:r w:rsidRPr="00B76585">
                                <w:rPr>
                                  <w:rFonts w:ascii="Times New Roman" w:eastAsia="Times New Roman" w:hAnsi="Times New Roman" w:cs="Times New Roman"/>
                                  <w:sz w:val="24"/>
                                  <w:szCs w:val="24"/>
                                </w:rPr>
                                <w:t xml:space="preserve"> learn about different coaching models, then you should attend the 6</w:t>
                              </w:r>
                              <w:r w:rsidRPr="00B76585">
                                <w:rPr>
                                  <w:rFonts w:ascii="Times New Roman" w:eastAsia="Times New Roman" w:hAnsi="Times New Roman" w:cs="Times New Roman"/>
                                  <w:sz w:val="24"/>
                                  <w:szCs w:val="24"/>
                                  <w:vertAlign w:val="superscript"/>
                                </w:rPr>
                                <w:t>th</w:t>
                              </w:r>
                              <w:r w:rsidRPr="00B76585">
                                <w:rPr>
                                  <w:rFonts w:ascii="Times New Roman" w:eastAsia="Times New Roman" w:hAnsi="Times New Roman" w:cs="Times New Roman"/>
                                  <w:sz w:val="24"/>
                                  <w:szCs w:val="24"/>
                                </w:rPr>
                                <w:t xml:space="preserve">Annual Virginia Council of Mathematics Specialists in Culpeper.  Dr. Robert Berry, President-Elect of </w:t>
                              </w:r>
                              <w:proofErr w:type="spellStart"/>
                              <w:r w:rsidRPr="00B76585">
                                <w:rPr>
                                  <w:rFonts w:ascii="Times New Roman" w:eastAsia="Times New Roman" w:hAnsi="Times New Roman" w:cs="Times New Roman"/>
                                  <w:sz w:val="24"/>
                                  <w:szCs w:val="24"/>
                                </w:rPr>
                                <w:t>theNCTM</w:t>
                              </w:r>
                              <w:proofErr w:type="spellEnd"/>
                              <w:r w:rsidRPr="00B76585">
                                <w:rPr>
                                  <w:rFonts w:ascii="Times New Roman" w:eastAsia="Times New Roman" w:hAnsi="Times New Roman" w:cs="Times New Roman"/>
                                  <w:sz w:val="24"/>
                                  <w:szCs w:val="24"/>
                                </w:rPr>
                                <w:t xml:space="preserve">, will be kicking off this year’s conference with an inspirational </w:t>
                              </w:r>
                              <w:proofErr w:type="spellStart"/>
                              <w:r w:rsidRPr="00B76585">
                                <w:rPr>
                                  <w:rFonts w:ascii="Times New Roman" w:eastAsia="Times New Roman" w:hAnsi="Times New Roman" w:cs="Times New Roman"/>
                                  <w:sz w:val="24"/>
                                  <w:szCs w:val="24"/>
                                </w:rPr>
                                <w:t>keynotespeech</w:t>
                              </w:r>
                              <w:proofErr w:type="spellEnd"/>
                              <w:r w:rsidRPr="00B76585">
                                <w:rPr>
                                  <w:rFonts w:ascii="Times New Roman" w:eastAsia="Times New Roman" w:hAnsi="Times New Roman" w:cs="Times New Roman"/>
                                  <w:sz w:val="24"/>
                                  <w:szCs w:val="24"/>
                                </w:rPr>
                                <w:t xml:space="preserve">.  There are a variety of </w:t>
                              </w:r>
                              <w:proofErr w:type="spellStart"/>
                              <w:r w:rsidRPr="00B76585">
                                <w:rPr>
                                  <w:rFonts w:ascii="Times New Roman" w:eastAsia="Times New Roman" w:hAnsi="Times New Roman" w:cs="Times New Roman"/>
                                  <w:sz w:val="24"/>
                                  <w:szCs w:val="24"/>
                                </w:rPr>
                                <w:t>sessionsto</w:t>
                              </w:r>
                              <w:proofErr w:type="spellEnd"/>
                              <w:r w:rsidRPr="00B76585">
                                <w:rPr>
                                  <w:rFonts w:ascii="Times New Roman" w:eastAsia="Times New Roman" w:hAnsi="Times New Roman" w:cs="Times New Roman"/>
                                  <w:sz w:val="24"/>
                                  <w:szCs w:val="24"/>
                                </w:rPr>
                                <w:t xml:space="preserve"> attend from abbreviated SOL Institutes, to coaching models, </w:t>
                              </w:r>
                              <w:proofErr w:type="spellStart"/>
                              <w:r w:rsidRPr="00B76585">
                                <w:rPr>
                                  <w:rFonts w:ascii="Times New Roman" w:eastAsia="Times New Roman" w:hAnsi="Times New Roman" w:cs="Times New Roman"/>
                                  <w:sz w:val="24"/>
                                  <w:szCs w:val="24"/>
                                </w:rPr>
                                <w:t>technologyintegration</w:t>
                              </w:r>
                              <w:proofErr w:type="spellEnd"/>
                              <w:r w:rsidRPr="00B76585">
                                <w:rPr>
                                  <w:rFonts w:ascii="Times New Roman" w:eastAsia="Times New Roman" w:hAnsi="Times New Roman" w:cs="Times New Roman"/>
                                  <w:sz w:val="24"/>
                                  <w:szCs w:val="24"/>
                                </w:rPr>
                                <w:t xml:space="preserve"> and much, much more.  </w:t>
                              </w:r>
                              <w:proofErr w:type="spellStart"/>
                              <w:r w:rsidRPr="00B76585">
                                <w:rPr>
                                  <w:rFonts w:ascii="Times New Roman" w:eastAsia="Times New Roman" w:hAnsi="Times New Roman" w:cs="Times New Roman"/>
                                  <w:sz w:val="24"/>
                                  <w:szCs w:val="24"/>
                                </w:rPr>
                                <w:t>Thisyear</w:t>
                              </w:r>
                              <w:proofErr w:type="spellEnd"/>
                              <w:r w:rsidRPr="00B76585">
                                <w:rPr>
                                  <w:rFonts w:ascii="Times New Roman" w:eastAsia="Times New Roman" w:hAnsi="Times New Roman" w:cs="Times New Roman"/>
                                  <w:sz w:val="24"/>
                                  <w:szCs w:val="24"/>
                                </w:rPr>
                                <w:t xml:space="preserve"> we are piloting one 150-minute session where attendees will experience </w:t>
                              </w:r>
                              <w:proofErr w:type="spellStart"/>
                              <w:r w:rsidRPr="00B76585">
                                <w:rPr>
                                  <w:rFonts w:ascii="Times New Roman" w:eastAsia="Times New Roman" w:hAnsi="Times New Roman" w:cs="Times New Roman"/>
                                  <w:sz w:val="24"/>
                                  <w:szCs w:val="24"/>
                                </w:rPr>
                                <w:t>andlearn</w:t>
                              </w:r>
                              <w:proofErr w:type="spellEnd"/>
                              <w:r w:rsidRPr="00B76585">
                                <w:rPr>
                                  <w:rFonts w:ascii="Times New Roman" w:eastAsia="Times New Roman" w:hAnsi="Times New Roman" w:cs="Times New Roman"/>
                                  <w:sz w:val="24"/>
                                  <w:szCs w:val="24"/>
                                </w:rPr>
                                <w:t xml:space="preserve"> about Math Workshop and Guided Math, and how to coach teachers </w:t>
                              </w:r>
                              <w:proofErr w:type="spellStart"/>
                              <w:r w:rsidRPr="00B76585">
                                <w:rPr>
                                  <w:rFonts w:ascii="Times New Roman" w:eastAsia="Times New Roman" w:hAnsi="Times New Roman" w:cs="Times New Roman"/>
                                  <w:sz w:val="24"/>
                                  <w:szCs w:val="24"/>
                                </w:rPr>
                                <w:t>toimplement</w:t>
                              </w:r>
                              <w:proofErr w:type="spellEnd"/>
                              <w:r w:rsidRPr="00B76585">
                                <w:rPr>
                                  <w:rFonts w:ascii="Times New Roman" w:eastAsia="Times New Roman" w:hAnsi="Times New Roman" w:cs="Times New Roman"/>
                                  <w:sz w:val="24"/>
                                  <w:szCs w:val="24"/>
                                </w:rPr>
                                <w:t xml:space="preserve"> this powerful teaching model.</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 I </w:t>
                              </w:r>
                              <w:proofErr w:type="spellStart"/>
                              <w:r w:rsidRPr="00B76585">
                                <w:rPr>
                                  <w:rFonts w:ascii="Times New Roman" w:eastAsia="Times New Roman" w:hAnsi="Times New Roman" w:cs="Times New Roman"/>
                                  <w:sz w:val="24"/>
                                  <w:szCs w:val="24"/>
                                </w:rPr>
                                <w:t>amlooking</w:t>
                              </w:r>
                              <w:proofErr w:type="spellEnd"/>
                              <w:r w:rsidRPr="00B76585">
                                <w:rPr>
                                  <w:rFonts w:ascii="Times New Roman" w:eastAsia="Times New Roman" w:hAnsi="Times New Roman" w:cs="Times New Roman"/>
                                  <w:sz w:val="24"/>
                                  <w:szCs w:val="24"/>
                                </w:rPr>
                                <w:t xml:space="preserve"> forward to an exciting conference and reconnecting with old friends </w:t>
                              </w:r>
                              <w:proofErr w:type="spellStart"/>
                              <w:r w:rsidRPr="00B76585">
                                <w:rPr>
                                  <w:rFonts w:ascii="Times New Roman" w:eastAsia="Times New Roman" w:hAnsi="Times New Roman" w:cs="Times New Roman"/>
                                  <w:sz w:val="24"/>
                                  <w:szCs w:val="24"/>
                                </w:rPr>
                                <w:t>andmaking</w:t>
                              </w:r>
                              <w:proofErr w:type="spellEnd"/>
                              <w:r w:rsidRPr="00B76585">
                                <w:rPr>
                                  <w:rFonts w:ascii="Times New Roman" w:eastAsia="Times New Roman" w:hAnsi="Times New Roman" w:cs="Times New Roman"/>
                                  <w:sz w:val="24"/>
                                  <w:szCs w:val="24"/>
                                </w:rPr>
                                <w:t xml:space="preserve"> new ones.  I hope to see </w:t>
                              </w:r>
                              <w:proofErr w:type="spellStart"/>
                              <w:r w:rsidRPr="00B76585">
                                <w:rPr>
                                  <w:rFonts w:ascii="Times New Roman" w:eastAsia="Times New Roman" w:hAnsi="Times New Roman" w:cs="Times New Roman"/>
                                  <w:sz w:val="24"/>
                                  <w:szCs w:val="24"/>
                                </w:rPr>
                                <w:t>youSeptember</w:t>
                              </w:r>
                              <w:proofErr w:type="spellEnd"/>
                              <w:r w:rsidRPr="00B76585">
                                <w:rPr>
                                  <w:rFonts w:ascii="Times New Roman" w:eastAsia="Times New Roman" w:hAnsi="Times New Roman" w:cs="Times New Roman"/>
                                  <w:sz w:val="24"/>
                                  <w:szCs w:val="24"/>
                                </w:rPr>
                                <w:t xml:space="preserve"> 28 and 29 at the conference! For more information, click </w:t>
                              </w:r>
                              <w:hyperlink r:id="rId5" w:tgtFrame="_blank" w:history="1">
                                <w:r w:rsidRPr="00B76585">
                                  <w:rPr>
                                    <w:rFonts w:ascii="Times New Roman" w:eastAsia="Times New Roman" w:hAnsi="Times New Roman" w:cs="Times New Roman"/>
                                    <w:color w:val="0000FF"/>
                                    <w:sz w:val="24"/>
                                    <w:szCs w:val="24"/>
                                    <w:u w:val="single"/>
                                  </w:rPr>
                                  <w:t>here</w:t>
                                </w:r>
                              </w:hyperlink>
                              <w:r w:rsidRPr="00B76585">
                                <w:rPr>
                                  <w:rFonts w:ascii="Times New Roman" w:eastAsia="Times New Roman" w:hAnsi="Times New Roman" w:cs="Times New Roman"/>
                                  <w:sz w:val="24"/>
                                  <w:szCs w:val="24"/>
                                </w:rPr>
                                <w:t>.</w:t>
                              </w:r>
                            </w:p>
                            <w:p w:rsidR="00B76585" w:rsidRPr="00B76585" w:rsidRDefault="00B76585" w:rsidP="00B76585">
                              <w:pPr>
                                <w:spacing w:after="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   </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i/>
                                  <w:iCs/>
                                  <w:sz w:val="24"/>
                                  <w:szCs w:val="24"/>
                                </w:rPr>
                                <w:t>Corinne Magee</w:t>
                              </w:r>
                            </w:p>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84"/>
                        </w:tblGrid>
                        <w:tr w:rsidR="00B76585" w:rsidRPr="00B76585">
                          <w:trPr>
                            <w:trHeight w:val="29778"/>
                            <w:tblCellSpacing w:w="0" w:type="dxa"/>
                          </w:trPr>
                          <w:tc>
                            <w:tcPr>
                              <w:tcW w:w="8370" w:type="dxa"/>
                              <w:tcBorders>
                                <w:top w:val="single" w:sz="6" w:space="0" w:color="000000"/>
                                <w:left w:val="single" w:sz="6" w:space="0" w:color="000000"/>
                                <w:bottom w:val="double" w:sz="4" w:space="0" w:color="000000"/>
                                <w:right w:val="single" w:sz="6" w:space="0" w:color="000000"/>
                              </w:tcBorders>
                              <w:shd w:val="clear" w:color="auto" w:fill="BC8DBF"/>
                              <w:tcMar>
                                <w:top w:w="0" w:type="dxa"/>
                                <w:left w:w="300" w:type="dxa"/>
                                <w:bottom w:w="210" w:type="dxa"/>
                                <w:right w:w="300" w:type="dxa"/>
                              </w:tcMar>
                              <w:hideMark/>
                            </w:tcPr>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i/>
                                  <w:iCs/>
                                  <w:sz w:val="24"/>
                                  <w:szCs w:val="24"/>
                                </w:rPr>
                                <w:lastRenderedPageBreak/>
                                <w:t xml:space="preserve">Membership </w:t>
                              </w:r>
                              <w:proofErr w:type="spellStart"/>
                              <w:r w:rsidRPr="00B76585">
                                <w:rPr>
                                  <w:rFonts w:ascii="Times New Roman" w:eastAsia="Times New Roman" w:hAnsi="Times New Roman" w:cs="Times New Roman"/>
                                  <w:b/>
                                  <w:bCs/>
                                  <w:i/>
                                  <w:iCs/>
                                  <w:sz w:val="24"/>
                                  <w:szCs w:val="24"/>
                                </w:rPr>
                                <w:t>Informtion</w:t>
                              </w:r>
                              <w:proofErr w:type="spellEnd"/>
                              <w:r w:rsidRPr="00B76585">
                                <w:rPr>
                                  <w:rFonts w:ascii="Times New Roman" w:eastAsia="Times New Roman" w:hAnsi="Times New Roman" w:cs="Times New Roman"/>
                                  <w:b/>
                                  <w:bCs/>
                                  <w:i/>
                                  <w:iCs/>
                                  <w:sz w:val="24"/>
                                  <w:szCs w:val="24"/>
                                </w:rPr>
                                <w:t xml:space="preserve"> Corner</w:t>
                              </w: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255"/>
                              </w:tblGrid>
                              <w:tr w:rsidR="00B76585" w:rsidRPr="00B76585" w:rsidTr="00B76585">
                                <w:trPr>
                                  <w:tblCellSpacing w:w="0" w:type="dxa"/>
                                </w:trPr>
                                <w:tc>
                                  <w:tcPr>
                                    <w:tcW w:w="0" w:type="auto"/>
                                    <w:tcBorders>
                                      <w:top w:val="single" w:sz="6" w:space="0" w:color="999999"/>
                                      <w:left w:val="single" w:sz="6" w:space="0" w:color="999999"/>
                                      <w:bottom w:val="single" w:sz="6" w:space="0" w:color="999999"/>
                                      <w:right w:val="single" w:sz="6" w:space="0" w:color="999999"/>
                                    </w:tcBorders>
                                    <w:hideMark/>
                                  </w:tcPr>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Wow, the response to registration for this </w:t>
                                    </w:r>
                                    <w:proofErr w:type="spellStart"/>
                                    <w:proofErr w:type="gramStart"/>
                                    <w:r w:rsidRPr="00B76585">
                                      <w:rPr>
                                        <w:rFonts w:ascii="Times New Roman" w:eastAsia="Times New Roman" w:hAnsi="Times New Roman" w:cs="Times New Roman"/>
                                        <w:sz w:val="24"/>
                                        <w:szCs w:val="24"/>
                                      </w:rPr>
                                      <w:t>years</w:t>
                                    </w:r>
                                    <w:proofErr w:type="spellEnd"/>
                                    <w:proofErr w:type="gramEnd"/>
                                    <w:r w:rsidRPr="00B76585">
                                      <w:rPr>
                                        <w:rFonts w:ascii="Times New Roman" w:eastAsia="Times New Roman" w:hAnsi="Times New Roman" w:cs="Times New Roman"/>
                                        <w:sz w:val="24"/>
                                        <w:szCs w:val="24"/>
                                      </w:rPr>
                                      <w:t xml:space="preserve"> conference as overwhelming.  Each year we have seen attendance grow and that is just wonderful since it tells use the conference is valuable service to our members.  And we do pay attention to what you tell us in the follow-up online survey to help improve the conference each year. </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VACMS is committed to offering a high quality </w:t>
                                    </w:r>
                                    <w:proofErr w:type="gramStart"/>
                                    <w:r w:rsidRPr="00B76585">
                                      <w:rPr>
                                        <w:rFonts w:ascii="Times New Roman" w:eastAsia="Times New Roman" w:hAnsi="Times New Roman" w:cs="Times New Roman"/>
                                        <w:sz w:val="24"/>
                                        <w:szCs w:val="24"/>
                                      </w:rPr>
                                      <w:t>conference  at</w:t>
                                    </w:r>
                                    <w:proofErr w:type="gramEnd"/>
                                    <w:r w:rsidRPr="00B76585">
                                      <w:rPr>
                                        <w:rFonts w:ascii="Times New Roman" w:eastAsia="Times New Roman" w:hAnsi="Times New Roman" w:cs="Times New Roman"/>
                                        <w:sz w:val="24"/>
                                        <w:szCs w:val="24"/>
                                      </w:rPr>
                                      <w:t xml:space="preserve"> the most reasonable price possible.  We have been fortunate that Germanna Community College partners with us so that we are able secure space at very reasonable fees. However, the size of the college limits us to the number of rooms we can use so we need to cap registration at 200 and this year we do have a wait list. We are sorry that we could not take everyone who wanted to attend.</w:t>
                                    </w:r>
                                  </w:p>
                                  <w:p w:rsidR="00B76585" w:rsidRPr="00B76585" w:rsidRDefault="00B76585" w:rsidP="00B76585">
                                    <w:pPr>
                                      <w:spacing w:after="210" w:line="240" w:lineRule="auto"/>
                                      <w:rPr>
                                        <w:rFonts w:ascii="Times New Roman" w:eastAsia="Times New Roman" w:hAnsi="Times New Roman" w:cs="Times New Roman"/>
                                        <w:sz w:val="24"/>
                                        <w:szCs w:val="24"/>
                                      </w:rPr>
                                    </w:pPr>
                                    <w:proofErr w:type="gramStart"/>
                                    <w:r w:rsidRPr="00B76585">
                                      <w:rPr>
                                        <w:rFonts w:ascii="Times New Roman" w:eastAsia="Times New Roman" w:hAnsi="Times New Roman" w:cs="Times New Roman"/>
                                        <w:sz w:val="24"/>
                                        <w:szCs w:val="24"/>
                                      </w:rPr>
                                      <w:t>So</w:t>
                                    </w:r>
                                    <w:proofErr w:type="gramEnd"/>
                                    <w:r w:rsidRPr="00B76585">
                                      <w:rPr>
                                        <w:rFonts w:ascii="Times New Roman" w:eastAsia="Times New Roman" w:hAnsi="Times New Roman" w:cs="Times New Roman"/>
                                        <w:sz w:val="24"/>
                                        <w:szCs w:val="24"/>
                                      </w:rPr>
                                      <w:t xml:space="preserve"> we are going to gather some information from members to help the Board decide about following conferences. If you are attending the conference be sure to complete the post-conference VACMS electronic we will be sending out a separate questionnaire so that you can make your ideas known to the Board. </w:t>
                                    </w:r>
                                  </w:p>
                                  <w:p w:rsidR="00B76585" w:rsidRPr="00B76585" w:rsidRDefault="00B76585" w:rsidP="00B76585">
                                    <w:pPr>
                                      <w:spacing w:after="210" w:line="240" w:lineRule="auto"/>
                                      <w:rPr>
                                        <w:rFonts w:ascii="Times New Roman" w:eastAsia="Times New Roman" w:hAnsi="Times New Roman" w:cs="Times New Roman"/>
                                        <w:sz w:val="24"/>
                                        <w:szCs w:val="24"/>
                                      </w:rPr>
                                    </w:pPr>
                                  </w:p>
                                </w:tc>
                              </w:tr>
                            </w:tbl>
                            <w:p w:rsidR="00B76585" w:rsidRPr="00B76585" w:rsidRDefault="00B76585" w:rsidP="00B76585">
                              <w:pPr>
                                <w:spacing w:after="210" w:line="240" w:lineRule="auto"/>
                                <w:jc w:val="center"/>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p>
                            <w:tbl>
                              <w:tblPr>
                                <w:tblW w:w="5000" w:type="pct"/>
                                <w:tblBorders>
                                  <w:top w:val="single" w:sz="6" w:space="0" w:color="999999"/>
                                  <w:left w:val="single" w:sz="6" w:space="0" w:color="999999"/>
                                  <w:bottom w:val="single" w:sz="6" w:space="0" w:color="999999"/>
                                  <w:right w:val="single" w:sz="6" w:space="0" w:color="999999"/>
                                </w:tblBorders>
                                <w:tblCellMar>
                                  <w:top w:w="30" w:type="dxa"/>
                                  <w:left w:w="30" w:type="dxa"/>
                                  <w:bottom w:w="30" w:type="dxa"/>
                                  <w:right w:w="30" w:type="dxa"/>
                                </w:tblCellMar>
                                <w:tblLook w:val="04A0" w:firstRow="1" w:lastRow="0" w:firstColumn="1" w:lastColumn="0" w:noHBand="0" w:noVBand="1"/>
                              </w:tblPr>
                              <w:tblGrid>
                                <w:gridCol w:w="8338"/>
                              </w:tblGrid>
                              <w:tr w:rsidR="00B76585" w:rsidRPr="00B76585" w:rsidTr="00B76585">
                                <w:tc>
                                  <w:tcPr>
                                    <w:tcW w:w="0" w:type="auto"/>
                                    <w:tcBorders>
                                      <w:top w:val="single" w:sz="6" w:space="0" w:color="999999"/>
                                      <w:left w:val="single" w:sz="6" w:space="0" w:color="999999"/>
                                      <w:bottom w:val="single" w:sz="6" w:space="0" w:color="999999"/>
                                      <w:right w:val="single" w:sz="6" w:space="0" w:color="999999"/>
                                    </w:tcBorders>
                                    <w:shd w:val="clear" w:color="auto" w:fill="FFCC33"/>
                                    <w:hideMark/>
                                  </w:tcPr>
                                  <w:p w:rsidR="00B76585" w:rsidRPr="00B76585" w:rsidRDefault="00B76585" w:rsidP="00B76585">
                                    <w:pPr>
                                      <w:spacing w:after="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shd w:val="clear" w:color="auto" w:fill="FFCC33"/>
                                      </w:rPr>
                                      <w:t> </w:t>
                                    </w:r>
                                    <w:r w:rsidRPr="00B76585">
                                      <w:rPr>
                                        <w:rFonts w:ascii="Times New Roman" w:eastAsia="Times New Roman" w:hAnsi="Times New Roman" w:cs="Times New Roman"/>
                                        <w:sz w:val="24"/>
                                        <w:szCs w:val="24"/>
                                      </w:rPr>
                                      <w:br/>
                                    </w:r>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90650" cy="1047750"/>
                                          <wp:effectExtent l="0" t="0" r="0" b="0"/>
                                          <wp:wrapSquare wrapText="bothSides"/>
                                          <wp:docPr id="4" name="Picture 4" descr="http://vacms.org/resources/Pictures/toolap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acms.org/resources/Pictures/toolapr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585">
                                      <w:rPr>
                                        <w:rFonts w:ascii="Times New Roman" w:eastAsia="Times New Roman" w:hAnsi="Times New Roman" w:cs="Times New Roman"/>
                                        <w:b/>
                                        <w:bCs/>
                                        <w:i/>
                                        <w:iCs/>
                                        <w:color w:val="222222"/>
                                        <w:sz w:val="36"/>
                                        <w:szCs w:val="36"/>
                                        <w:shd w:val="clear" w:color="auto" w:fill="FFCC33"/>
                                      </w:rPr>
                                      <w:t>The Utility Apron Resources Corner </w:t>
                                    </w:r>
                                  </w:p>
                                  <w:p w:rsidR="00B76585" w:rsidRPr="00B76585" w:rsidRDefault="00B76585" w:rsidP="00B76585">
                                    <w:pPr>
                                      <w:shd w:val="clear" w:color="auto" w:fill="FFCC33"/>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The place to learn about new ideas and new resources to help you support teachers in your buildings.</w:t>
                                    </w:r>
                                  </w:p>
                                </w:tc>
                              </w:tr>
                              <w:tr w:rsidR="00B76585" w:rsidRPr="00B76585" w:rsidTr="00B76585">
                                <w:tc>
                                  <w:tcPr>
                                    <w:tcW w:w="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b/>
                                        <w:bCs/>
                                        <w:sz w:val="24"/>
                                        <w:szCs w:val="24"/>
                                        <w:u w:val="single"/>
                                      </w:rPr>
                                      <w:t>Kristen Brink, K-5 Math Specialist Culpeper County Public Schools, Region IV</w:t>
                                    </w:r>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b/>
                                        <w:bCs/>
                                        <w:i/>
                                        <w:iCs/>
                                        <w:sz w:val="24"/>
                                        <w:szCs w:val="24"/>
                                      </w:rPr>
                                      <w:t>Part-Whole Relationships in Kindergarten and First Grade</w:t>
                                    </w:r>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 The 2016 Standards of Learning for Mathematics in Kindergarten state that students will “recognize and describe with fluency part-whole relationships for numbers up to 5” while investigating and describing those relationships with numbers up to 10.  First graders are to be fluent in the relationships to ten.  These standards develop a basis for computational fluency: “thinking flexibly </w:t>
                                    </w:r>
                                    <w:proofErr w:type="gramStart"/>
                                    <w:r w:rsidRPr="00B76585">
                                      <w:rPr>
                                        <w:rFonts w:ascii="Times New Roman" w:eastAsia="Times New Roman" w:hAnsi="Times New Roman" w:cs="Times New Roman"/>
                                        <w:sz w:val="24"/>
                                        <w:szCs w:val="24"/>
                                      </w:rPr>
                                      <w:t>in order to</w:t>
                                    </w:r>
                                    <w:proofErr w:type="gramEnd"/>
                                    <w:r w:rsidRPr="00B76585">
                                      <w:rPr>
                                        <w:rFonts w:ascii="Times New Roman" w:eastAsia="Times New Roman" w:hAnsi="Times New Roman" w:cs="Times New Roman"/>
                                        <w:sz w:val="24"/>
                                        <w:szCs w:val="24"/>
                                      </w:rPr>
                                      <w:t xml:space="preserve"> choose appropriate strategies to solve problems accurately and efficiently.”</w:t>
                                    </w:r>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 A simple activity for decomposing numbers is “Spill the Beans.”  Students use two-color counters in a cup.  They spill out the cup and record how many of each color they spilled.  For example, if the cup had 7 counters, students could record 5 red and 2 yellow.  It is important that equations are not used on the recording sheet.  For this activity student thinking should be “5 and 2 make 7” not 5 + 2 = 7.  Repetition of this </w:t>
                                    </w:r>
                                    <w:r w:rsidRPr="00B76585">
                                      <w:rPr>
                                        <w:rFonts w:ascii="Times New Roman" w:eastAsia="Times New Roman" w:hAnsi="Times New Roman" w:cs="Times New Roman"/>
                                        <w:sz w:val="24"/>
                                        <w:szCs w:val="24"/>
                                      </w:rPr>
                                      <w:lastRenderedPageBreak/>
                                      <w:t>activity helps to build fluency for all combinations that make a number and will build a foundation for addition and subtraction.</w:t>
                                    </w:r>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81025" cy="762000"/>
                                          <wp:effectExtent l="0" t="0" r="9525" b="0"/>
                                          <wp:wrapSquare wrapText="bothSides"/>
                                          <wp:docPr id="3" name="Picture 3" descr="http://vacms.org/resources/Pictures/Brink_Richardson%20B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cms.org/resources/Pictures/Brink_Richardson%20Bk%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585">
                                      <w:rPr>
                                        <w:rFonts w:ascii="Times New Roman" w:eastAsia="Times New Roman" w:hAnsi="Times New Roman" w:cs="Times New Roman"/>
                                        <w:sz w:val="24"/>
                                        <w:szCs w:val="24"/>
                                      </w:rPr>
                                      <w:t>A resource for activities on this topic is Kathy </w:t>
                                    </w:r>
                                    <w:r w:rsidRPr="00B76585">
                                      <w:rPr>
                                        <w:rFonts w:ascii="Times New Roman" w:eastAsia="Times New Roman" w:hAnsi="Times New Roman" w:cs="Times New Roman"/>
                                        <w:i/>
                                        <w:iCs/>
                                        <w:sz w:val="24"/>
                                        <w:szCs w:val="24"/>
                                      </w:rPr>
                                      <w:t>Richardson’s Developing Number Concepts Book</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i/>
                                        <w:iCs/>
                                        <w:sz w:val="24"/>
                                        <w:szCs w:val="24"/>
                                      </w:rPr>
                                      <w:t>1: Counting, Comparing, and Pattern</w:t>
                                    </w:r>
                                    <w:r w:rsidRPr="00B76585">
                                      <w:rPr>
                                        <w:rFonts w:ascii="Times New Roman" w:eastAsia="Times New Roman" w:hAnsi="Times New Roman" w:cs="Times New Roman"/>
                                        <w:sz w:val="24"/>
                                        <w:szCs w:val="24"/>
                                      </w:rPr>
                                      <w:t xml:space="preserve">.   Some useful manipulatives are ten frames, </w:t>
                                    </w:r>
                                    <w:proofErr w:type="spellStart"/>
                                    <w:r w:rsidRPr="00B76585">
                                      <w:rPr>
                                        <w:rFonts w:ascii="Times New Roman" w:eastAsia="Times New Roman" w:hAnsi="Times New Roman" w:cs="Times New Roman"/>
                                        <w:sz w:val="24"/>
                                        <w:szCs w:val="24"/>
                                      </w:rPr>
                                      <w:t>Rekenreks</w:t>
                                    </w:r>
                                    <w:proofErr w:type="spellEnd"/>
                                    <w:r w:rsidRPr="00B76585">
                                      <w:rPr>
                                        <w:rFonts w:ascii="Times New Roman" w:eastAsia="Times New Roman" w:hAnsi="Times New Roman" w:cs="Times New Roman"/>
                                        <w:sz w:val="24"/>
                                        <w:szCs w:val="24"/>
                                      </w:rPr>
                                      <w:t xml:space="preserve">, two color counters, and beaded number strings.  I’ve shared this video from The Teaching Channel, “Quick Images: Visualizing Number Combinations”, in professional develop with my staff.   I have also modeled use of the ten </w:t>
                                    </w:r>
                                    <w:proofErr w:type="gramStart"/>
                                    <w:r w:rsidRPr="00B76585">
                                      <w:rPr>
                                        <w:rFonts w:ascii="Times New Roman" w:eastAsia="Times New Roman" w:hAnsi="Times New Roman" w:cs="Times New Roman"/>
                                        <w:sz w:val="24"/>
                                        <w:szCs w:val="24"/>
                                      </w:rPr>
                                      <w:t>frame</w:t>
                                    </w:r>
                                    <w:proofErr w:type="gramEnd"/>
                                    <w:r w:rsidRPr="00B76585">
                                      <w:rPr>
                                        <w:rFonts w:ascii="Times New Roman" w:eastAsia="Times New Roman" w:hAnsi="Times New Roman" w:cs="Times New Roman"/>
                                        <w:sz w:val="24"/>
                                        <w:szCs w:val="24"/>
                                      </w:rPr>
                                      <w:t xml:space="preserve"> for number combinations for some teachers.  They always appreciate seeing it in action. </w:t>
                                    </w:r>
                                    <w:hyperlink r:id="rId8" w:tgtFrame="_blank" w:history="1">
                                      <w:r w:rsidRPr="00B76585">
                                        <w:rPr>
                                          <w:rFonts w:ascii="Times New Roman" w:eastAsia="Times New Roman" w:hAnsi="Times New Roman" w:cs="Times New Roman"/>
                                          <w:color w:val="0000FF"/>
                                          <w:sz w:val="24"/>
                                          <w:szCs w:val="24"/>
                                          <w:u w:val="single"/>
                                        </w:rPr>
                                        <w:t>https://www.teachingchannel.org/videos/visualizing-number-combinations</w:t>
                                      </w:r>
                                    </w:hyperlink>
                                  </w:p>
                                  <w:p w:rsidR="00B76585" w:rsidRPr="00B76585" w:rsidRDefault="00B76585" w:rsidP="00B76585">
                                    <w:pPr>
                                      <w:spacing w:after="210" w:line="240" w:lineRule="auto"/>
                                      <w:jc w:val="both"/>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p>
                                </w:tc>
                              </w:tr>
                              <w:tr w:rsidR="00B76585" w:rsidRPr="00B76585" w:rsidTr="00B76585">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sz w:val="24"/>
                                        <w:szCs w:val="24"/>
                                      </w:rPr>
                                      <w:lastRenderedPageBreak/>
                                      <w:t>Phyllis Walls, Mathematics Teacher Chesterfield County Public Schools, Region 1</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i/>
                                        <w:iCs/>
                                        <w:color w:val="222222"/>
                                        <w:sz w:val="24"/>
                                        <w:szCs w:val="24"/>
                                      </w:rPr>
                                      <w:t>CAUTION…USE CROSSWALK!</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i/>
                                        <w:iCs/>
                                        <w:color w:val="222222"/>
                                        <w:sz w:val="24"/>
                                        <w:szCs w:val="24"/>
                                      </w:rPr>
                                      <w:t>  </w:t>
                                    </w:r>
                                    <w:r w:rsidRPr="00B7658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76300" cy="771525"/>
                                          <wp:effectExtent l="0" t="0" r="0" b="9525"/>
                                          <wp:wrapSquare wrapText="bothSides"/>
                                          <wp:docPr id="2" name="Picture 2" descr="http://vacms.org/resources/Pictures/Wall_Street%20Cro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cms.org/resources/Pictures/Wall_Street%20Cross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585">
                                      <w:rPr>
                                        <w:rFonts w:ascii="Times New Roman" w:eastAsia="Times New Roman" w:hAnsi="Times New Roman" w:cs="Times New Roman"/>
                                        <w:b/>
                                        <w:bCs/>
                                        <w:i/>
                                        <w:iCs/>
                                        <w:color w:val="222222"/>
                                        <w:sz w:val="24"/>
                                        <w:szCs w:val="24"/>
                                      </w:rPr>
                                      <w:t>   </w:t>
                                    </w:r>
                                    <w:r w:rsidRPr="00B76585">
                                      <w:rPr>
                                        <w:rFonts w:ascii="Times New Roman" w:eastAsia="Times New Roman" w:hAnsi="Times New Roman" w:cs="Times New Roman"/>
                                        <w:sz w:val="24"/>
                                        <w:szCs w:val="24"/>
                                      </w:rPr>
                                      <w:t>The 2017-2018 school year is Virginia’s Crossover year.  Teachers are expected to study and teach from the 2009 Mathematics Standards and the 2016 Mathematics Standards to ensure all students are exposed to content in both sets of standards.</w:t>
                                    </w:r>
                                  </w:p>
                                  <w:p w:rsidR="00B76585" w:rsidRPr="00B76585" w:rsidRDefault="00B76585" w:rsidP="00B76585">
                                    <w:pPr>
                                      <w:spacing w:after="210" w:line="240" w:lineRule="auto"/>
                                      <w:rPr>
                                        <w:rFonts w:ascii="Times New Roman" w:eastAsia="Times New Roman" w:hAnsi="Times New Roman" w:cs="Times New Roman"/>
                                        <w:sz w:val="24"/>
                                        <w:szCs w:val="24"/>
                                      </w:rPr>
                                    </w:pP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Three purposes of the newly adopted 2016 standards are:</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Symbol" w:eastAsia="Times New Roman" w:hAnsi="Symbol" w:cs="Times New Roman"/>
                                        <w:color w:val="222222"/>
                                        <w:sz w:val="20"/>
                                        <w:szCs w:val="20"/>
                                      </w:rPr>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color w:val="222222"/>
                                        <w:sz w:val="24"/>
                                        <w:szCs w:val="24"/>
                                      </w:rPr>
                                      <w:t>Improve Vertical Progression</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Symbol" w:eastAsia="Times New Roman" w:hAnsi="Symbol" w:cs="Times New Roman"/>
                                        <w:color w:val="222222"/>
                                        <w:sz w:val="20"/>
                                        <w:szCs w:val="20"/>
                                      </w:rPr>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color w:val="222222"/>
                                        <w:sz w:val="24"/>
                                        <w:szCs w:val="24"/>
                                      </w:rPr>
                                      <w:t>Improve Consistency of Math Language</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Symbol" w:eastAsia="Times New Roman" w:hAnsi="Symbol" w:cs="Times New Roman"/>
                                        <w:color w:val="222222"/>
                                        <w:sz w:val="20"/>
                                        <w:szCs w:val="20"/>
                                      </w:rPr>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color w:val="222222"/>
                                        <w:sz w:val="24"/>
                                        <w:szCs w:val="24"/>
                                      </w:rPr>
                                      <w:t>Clarify Teaching &amp; Learning Expectations</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Grades 6-8 will see changes in three major content strands:  Equations (including working with integers), Inequalities, and Proportional Reasoning.</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Teachers will need assistance and clarity as they transition from the 2009 standards to the 2016 standards but more importantly as they begin to teach these standards from a conceptual understanding. This is crucial to providing the foundational support in the solid understanding that a “rate” compares two distinct quantities with different units of measure (rather than only 3 distinct notations for representing a ratio) to more easily make a clear connection in grade 7 and grade 8 of slope representing this “rate of change” which remains constant.</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The VDOE has provided several resources to help with the shifts.</w:t>
                                    </w:r>
                                  </w:p>
                                  <w:p w:rsidR="00B76585" w:rsidRPr="00B76585" w:rsidRDefault="00B76585" w:rsidP="00B76585">
                                    <w:pPr>
                                      <w:spacing w:after="0" w:line="240" w:lineRule="auto"/>
                                      <w:rPr>
                                        <w:rFonts w:ascii="Times New Roman" w:eastAsia="Times New Roman" w:hAnsi="Times New Roman" w:cs="Times New Roman"/>
                                        <w:sz w:val="24"/>
                                        <w:szCs w:val="24"/>
                                      </w:rPr>
                                    </w:pPr>
                                    <w:r w:rsidRPr="00B76585">
                                      <w:rPr>
                                        <w:rFonts w:ascii="Symbol" w:eastAsia="Times New Roman" w:hAnsi="Symbol" w:cs="Times New Roman"/>
                                        <w:color w:val="222222"/>
                                        <w:sz w:val="20"/>
                                        <w:szCs w:val="20"/>
                                      </w:rPr>
                                      <w:lastRenderedPageBreak/>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hyperlink r:id="rId10" w:tgtFrame="_blank" w:history="1">
                                      <w:r w:rsidRPr="00B76585">
                                        <w:rPr>
                                          <w:rFonts w:ascii="Times New Roman" w:eastAsia="Times New Roman" w:hAnsi="Times New Roman" w:cs="Times New Roman"/>
                                          <w:color w:val="222222"/>
                                          <w:sz w:val="24"/>
                                          <w:szCs w:val="24"/>
                                          <w:u w:val="single"/>
                                        </w:rPr>
                                        <w:t>2016 Mathematics Standards Curriculum Frameworks</w:t>
                                      </w:r>
                                    </w:hyperlink>
                                    <w:r w:rsidRPr="00B76585">
                                      <w:rPr>
                                        <w:rFonts w:ascii="Times New Roman" w:eastAsia="Times New Roman" w:hAnsi="Times New Roman" w:cs="Times New Roman"/>
                                        <w:sz w:val="24"/>
                                        <w:szCs w:val="24"/>
                                      </w:rPr>
                                      <w:br/>
                                    </w:r>
                                    <w:r w:rsidRPr="00B76585">
                                      <w:rPr>
                                        <w:rFonts w:ascii="Symbol" w:eastAsia="Times New Roman" w:hAnsi="Symbol" w:cs="Times New Roman"/>
                                        <w:color w:val="222222"/>
                                        <w:sz w:val="20"/>
                                        <w:szCs w:val="20"/>
                                      </w:rPr>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hyperlink r:id="rId11" w:tgtFrame="_blank" w:history="1">
                                      <w:r w:rsidRPr="00B76585">
                                        <w:rPr>
                                          <w:rFonts w:ascii="Times New Roman" w:eastAsia="Times New Roman" w:hAnsi="Times New Roman" w:cs="Times New Roman"/>
                                          <w:color w:val="222222"/>
                                          <w:sz w:val="24"/>
                                          <w:szCs w:val="24"/>
                                          <w:u w:val="single"/>
                                        </w:rPr>
                                        <w:t>2016 Mathematics Crosswalk documents &amp; narrated Crosswalk presentations</w:t>
                                      </w:r>
                                    </w:hyperlink>
                                    <w:r w:rsidRPr="00B76585">
                                      <w:rPr>
                                        <w:rFonts w:ascii="Times New Roman" w:eastAsia="Times New Roman" w:hAnsi="Times New Roman" w:cs="Times New Roman"/>
                                        <w:sz w:val="24"/>
                                        <w:szCs w:val="24"/>
                                      </w:rPr>
                                      <w:br/>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Symbol" w:eastAsia="Times New Roman" w:hAnsi="Symbol" w:cs="Times New Roman"/>
                                        <w:color w:val="222222"/>
                                        <w:sz w:val="20"/>
                                        <w:szCs w:val="20"/>
                                      </w:rPr>
                                      <w:t></w:t>
                                    </w:r>
                                    <w:r w:rsidRPr="00B76585">
                                      <w:rPr>
                                        <w:rFonts w:ascii="Times New Roman" w:eastAsia="Times New Roman" w:hAnsi="Times New Roman" w:cs="Times New Roman"/>
                                        <w:color w:val="222222"/>
                                        <w:sz w:val="14"/>
                                        <w:szCs w:val="14"/>
                                      </w:rPr>
                                      <w:t>       </w:t>
                                    </w:r>
                                    <w:r w:rsidRPr="00B76585">
                                      <w:rPr>
                                        <w:rFonts w:ascii="Times New Roman" w:eastAsia="Times New Roman" w:hAnsi="Times New Roman" w:cs="Times New Roman"/>
                                        <w:sz w:val="24"/>
                                        <w:szCs w:val="24"/>
                                      </w:rPr>
                                      <w:t> </w:t>
                                    </w:r>
                                    <w:hyperlink r:id="rId12" w:tgtFrame="_blank" w:history="1">
                                      <w:r w:rsidRPr="00B76585">
                                        <w:rPr>
                                          <w:rFonts w:ascii="Times New Roman" w:eastAsia="Times New Roman" w:hAnsi="Times New Roman" w:cs="Times New Roman"/>
                                          <w:color w:val="222222"/>
                                          <w:sz w:val="24"/>
                                          <w:szCs w:val="24"/>
                                          <w:u w:val="single"/>
                                        </w:rPr>
                                        <w:t>2016 Progression documents for selected Content Strands</w:t>
                                      </w:r>
                                    </w:hyperlink>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As we “cross – over” to our new standards and continue to teach for depth of understanding a worthwhile read and great springboard for colleague discussion is the NCTM article “Twelve Math Rules that Expire in the Middle Grades” by</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color w:val="333333"/>
                                        <w:sz w:val="24"/>
                                        <w:szCs w:val="24"/>
                                        <w:shd w:val="clear" w:color="auto" w:fill="FFFFFF"/>
                                      </w:rPr>
                                      <w:t>Karp, Bush, Dougherty,</w:t>
                                    </w:r>
                                    <w:r w:rsidRPr="00B76585">
                                      <w:rPr>
                                        <w:rFonts w:ascii="Times New Roman" w:eastAsia="Times New Roman" w:hAnsi="Times New Roman" w:cs="Times New Roman"/>
                                        <w:sz w:val="24"/>
                                        <w:szCs w:val="24"/>
                                      </w:rPr>
                                      <w:t> </w:t>
                                    </w:r>
                                    <w:r w:rsidRPr="00B76585">
                                      <w:rPr>
                                        <w:rFonts w:ascii="Times New Roman" w:eastAsia="Times New Roman" w:hAnsi="Times New Roman" w:cs="Times New Roman"/>
                                        <w:color w:val="222222"/>
                                        <w:sz w:val="24"/>
                                        <w:szCs w:val="24"/>
                                      </w:rPr>
                                      <w:t>Mathematics Teaching in the Middle School, Vol. 21, No. 4 (November 2015), pp. 208-215.</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A second resource to aid teachers’ mathematical understanding of the richness of the</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color w:val="222222"/>
                                        <w:sz w:val="24"/>
                                        <w:szCs w:val="24"/>
                                      </w:rPr>
                                      <w:t>proportional reasoning shifts in the new standards is the introduction to</w:t>
                                    </w:r>
                                    <w:r w:rsidRPr="00B76585">
                                      <w:rPr>
                                        <w:rFonts w:ascii="Times New Roman" w:eastAsia="Times New Roman" w:hAnsi="Times New Roman" w:cs="Times New Roman"/>
                                        <w:sz w:val="24"/>
                                        <w:szCs w:val="24"/>
                                      </w:rPr>
                                      <w:t> </w:t>
                                    </w:r>
                                    <w:hyperlink r:id="rId13" w:tgtFrame="_blank" w:history="1">
                                      <w:r w:rsidRPr="00B76585">
                                        <w:rPr>
                                          <w:rFonts w:ascii="Times New Roman" w:eastAsia="Times New Roman" w:hAnsi="Times New Roman" w:cs="Times New Roman"/>
                                          <w:b/>
                                          <w:bCs/>
                                          <w:color w:val="0000FF"/>
                                          <w:sz w:val="24"/>
                                          <w:szCs w:val="24"/>
                                          <w:u w:val="single"/>
                                        </w:rPr>
                                        <w:t>Scale City</w:t>
                                      </w:r>
                                    </w:hyperlink>
                                    <w:r w:rsidRPr="00B76585">
                                      <w:rPr>
                                        <w:rFonts w:ascii="Times New Roman" w:eastAsia="Times New Roman" w:hAnsi="Times New Roman" w:cs="Times New Roman"/>
                                        <w:color w:val="222222"/>
                                        <w:sz w:val="24"/>
                                        <w:szCs w:val="24"/>
                                      </w:rPr>
                                      <w:t>, a multi-state grant project exploring the mathematics of scale and scaling, written by Dr. Linda Sheffield, Regents Professor Emerita of Mathematics Education at Northern Kentucky University.</w:t>
                                    </w: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76585" w:rsidRPr="00B76585">
                          <w:trPr>
                            <w:trHeight w:val="9738"/>
                            <w:tblCellSpacing w:w="0" w:type="dxa"/>
                          </w:trPr>
                          <w:tc>
                            <w:tcPr>
                              <w:tcW w:w="8400" w:type="dxa"/>
                              <w:tcBorders>
                                <w:top w:val="single" w:sz="6" w:space="0" w:color="B3B3B3"/>
                              </w:tcBorders>
                              <w:shd w:val="clear" w:color="auto" w:fill="FFCC33"/>
                              <w:tcMar>
                                <w:top w:w="210" w:type="dxa"/>
                                <w:left w:w="300" w:type="dxa"/>
                                <w:bottom w:w="0" w:type="dxa"/>
                                <w:right w:w="300" w:type="dxa"/>
                              </w:tcMar>
                              <w:hideMark/>
                            </w:tcPr>
                            <w:p w:rsidR="00B76585" w:rsidRPr="00B76585" w:rsidRDefault="00B76585" w:rsidP="00B76585">
                              <w:pPr>
                                <w:spacing w:after="210" w:line="240" w:lineRule="auto"/>
                                <w:rPr>
                                  <w:rFonts w:ascii="Times New Roman" w:eastAsia="Times New Roman" w:hAnsi="Times New Roman" w:cs="Times New Roman"/>
                                  <w:i/>
                                  <w:iCs/>
                                  <w:sz w:val="20"/>
                                  <w:szCs w:val="20"/>
                                </w:rPr>
                              </w:pPr>
                            </w:p>
                            <w:tbl>
                              <w:tblPr>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384"/>
                              </w:tblGrid>
                              <w:tr w:rsidR="00B76585" w:rsidRPr="00B76585" w:rsidTr="00B76585">
                                <w:tc>
                                  <w:tcPr>
                                    <w:tcW w:w="0" w:type="auto"/>
                                    <w:tcBorders>
                                      <w:top w:val="single" w:sz="6" w:space="0" w:color="999999"/>
                                      <w:left w:val="single" w:sz="6" w:space="0" w:color="999999"/>
                                      <w:bottom w:val="single" w:sz="6" w:space="0" w:color="999999"/>
                                      <w:right w:val="single" w:sz="6" w:space="0" w:color="999999"/>
                                    </w:tcBorders>
                                    <w:shd w:val="clear" w:color="auto" w:fill="A763A8"/>
                                    <w:hideMark/>
                                  </w:tcPr>
                                  <w:p w:rsidR="00B76585" w:rsidRPr="00B76585" w:rsidRDefault="00B76585" w:rsidP="00B76585">
                                    <w:pPr>
                                      <w:spacing w:after="0" w:line="240" w:lineRule="auto"/>
                                      <w:jc w:val="center"/>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p>
                                  <w:p w:rsidR="00B76585" w:rsidRPr="00B76585" w:rsidRDefault="00B76585" w:rsidP="00B76585">
                                    <w:pPr>
                                      <w:spacing w:after="210" w:line="240" w:lineRule="auto"/>
                                      <w:jc w:val="center"/>
                                      <w:rPr>
                                        <w:rFonts w:ascii="Times New Roman" w:eastAsia="Times New Roman" w:hAnsi="Times New Roman" w:cs="Times New Roman"/>
                                        <w:sz w:val="24"/>
                                        <w:szCs w:val="24"/>
                                      </w:rPr>
                                    </w:pPr>
                                    <w:r w:rsidRPr="00B76585">
                                      <w:rPr>
                                        <w:rFonts w:ascii="Times New Roman" w:eastAsia="Times New Roman" w:hAnsi="Times New Roman" w:cs="Times New Roman"/>
                                        <w:b/>
                                        <w:bCs/>
                                        <w:sz w:val="27"/>
                                        <w:szCs w:val="27"/>
                                      </w:rPr>
                                      <w:t>Stay Connected with VACMS and with each other—</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sz w:val="24"/>
                                        <w:szCs w:val="24"/>
                                      </w:rPr>
                                      <w:t> Website: </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Keep up with latest events, pre-conference information and post-conference presentation resources, and other resources related to the work of </w:t>
                                    </w:r>
                                    <w:proofErr w:type="gramStart"/>
                                    <w:r w:rsidRPr="00B76585">
                                      <w:rPr>
                                        <w:rFonts w:ascii="Times New Roman" w:eastAsia="Times New Roman" w:hAnsi="Times New Roman" w:cs="Times New Roman"/>
                                        <w:sz w:val="24"/>
                                        <w:szCs w:val="24"/>
                                      </w:rPr>
                                      <w:t>a  mathematics</w:t>
                                    </w:r>
                                    <w:proofErr w:type="gramEnd"/>
                                    <w:r w:rsidRPr="00B76585">
                                      <w:rPr>
                                        <w:rFonts w:ascii="Times New Roman" w:eastAsia="Times New Roman" w:hAnsi="Times New Roman" w:cs="Times New Roman"/>
                                        <w:sz w:val="24"/>
                                        <w:szCs w:val="24"/>
                                      </w:rPr>
                                      <w:t xml:space="preserve"> leader. Visit us at </w:t>
                                    </w:r>
                                    <w:hyperlink r:id="rId14" w:tgtFrame="_blank" w:history="1">
                                      <w:r w:rsidRPr="00B76585">
                                        <w:rPr>
                                          <w:rFonts w:ascii="Times New Roman" w:eastAsia="Times New Roman" w:hAnsi="Times New Roman" w:cs="Times New Roman"/>
                                          <w:b/>
                                          <w:bCs/>
                                          <w:color w:val="0000FF"/>
                                          <w:sz w:val="24"/>
                                          <w:szCs w:val="24"/>
                                          <w:u w:val="single"/>
                                        </w:rPr>
                                        <w:t>www.vacms.org</w:t>
                                      </w:r>
                                    </w:hyperlink>
                                    <w:r w:rsidRPr="00B76585">
                                      <w:rPr>
                                        <w:rFonts w:ascii="Times New Roman" w:eastAsia="Times New Roman" w:hAnsi="Times New Roman" w:cs="Times New Roman"/>
                                        <w:b/>
                                        <w:bCs/>
                                        <w:sz w:val="24"/>
                                        <w:szCs w:val="24"/>
                                      </w:rPr>
                                      <w:t>.</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sz w:val="24"/>
                                        <w:szCs w:val="24"/>
                                      </w:rPr>
                                      <w:t>Facebook: </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xml:space="preserve">Network and share with colleagues in real time and get information about new resources. Access current information about teaching and learning mathematics posted by members. Request to join the VACMS </w:t>
                                    </w:r>
                                    <w:proofErr w:type="spellStart"/>
                                    <w:r w:rsidRPr="00B76585">
                                      <w:rPr>
                                        <w:rFonts w:ascii="Times New Roman" w:eastAsia="Times New Roman" w:hAnsi="Times New Roman" w:cs="Times New Roman"/>
                                        <w:sz w:val="24"/>
                                        <w:szCs w:val="24"/>
                                      </w:rPr>
                                      <w:t>facebook</w:t>
                                    </w:r>
                                    <w:proofErr w:type="spellEnd"/>
                                    <w:r w:rsidRPr="00B76585">
                                      <w:rPr>
                                        <w:rFonts w:ascii="Times New Roman" w:eastAsia="Times New Roman" w:hAnsi="Times New Roman" w:cs="Times New Roman"/>
                                        <w:sz w:val="24"/>
                                        <w:szCs w:val="24"/>
                                      </w:rPr>
                                      <w:t xml:space="preserve"> group by visiting the group's</w:t>
                                    </w:r>
                                    <w:r w:rsidRPr="00B76585">
                                      <w:rPr>
                                        <w:rFonts w:ascii="Times New Roman" w:eastAsia="Times New Roman" w:hAnsi="Times New Roman" w:cs="Times New Roman"/>
                                        <w:b/>
                                        <w:bCs/>
                                        <w:sz w:val="24"/>
                                        <w:szCs w:val="24"/>
                                      </w:rPr>
                                      <w:t> </w:t>
                                    </w:r>
                                    <w:r w:rsidRPr="00B76585">
                                      <w:rPr>
                                        <w:rFonts w:ascii="Times New Roman" w:eastAsia="Times New Roman" w:hAnsi="Times New Roman" w:cs="Times New Roman"/>
                                        <w:sz w:val="24"/>
                                        <w:szCs w:val="24"/>
                                      </w:rPr>
                                      <w:t>page </w:t>
                                    </w:r>
                                    <w:r w:rsidRPr="00B76585">
                                      <w:rPr>
                                        <w:rFonts w:ascii="Times New Roman" w:eastAsia="Times New Roman" w:hAnsi="Times New Roman" w:cs="Times New Roman"/>
                                        <w:i/>
                                        <w:iCs/>
                                        <w:sz w:val="24"/>
                                        <w:szCs w:val="24"/>
                                      </w:rPr>
                                      <w:t>VACMS-The Virginia Council of Mathematics Specialists.</w:t>
                                    </w:r>
                                  </w:p>
                                  <w:p w:rsidR="00B76585" w:rsidRPr="00B76585" w:rsidRDefault="00B76585" w:rsidP="00B76585">
                                    <w:pPr>
                                      <w:spacing w:after="210" w:line="240" w:lineRule="auto"/>
                                      <w:rPr>
                                        <w:rFonts w:ascii="Times New Roman" w:eastAsia="Times New Roman" w:hAnsi="Times New Roman" w:cs="Times New Roman"/>
                                        <w:sz w:val="24"/>
                                        <w:szCs w:val="24"/>
                                      </w:rPr>
                                    </w:pPr>
                                    <w:r w:rsidRPr="00B76585">
                                      <w:rPr>
                                        <w:rFonts w:ascii="Times New Roman" w:eastAsia="Times New Roman" w:hAnsi="Times New Roman" w:cs="Times New Roman"/>
                                        <w:b/>
                                        <w:bCs/>
                                        <w:sz w:val="24"/>
                                        <w:szCs w:val="24"/>
                                      </w:rPr>
                                      <w:t>Twitter: </w:t>
                                    </w:r>
                                    <w:r w:rsidRPr="00B76585">
                                      <w:rPr>
                                        <w:rFonts w:ascii="Times New Roman" w:eastAsia="Times New Roman" w:hAnsi="Times New Roman" w:cs="Times New Roman"/>
                                        <w:sz w:val="24"/>
                                        <w:szCs w:val="24"/>
                                      </w:rPr>
                                      <w:t>Follow us on Twitter: @</w:t>
                                    </w:r>
                                    <w:proofErr w:type="spellStart"/>
                                    <w:r w:rsidRPr="00B76585">
                                      <w:rPr>
                                        <w:rFonts w:ascii="Times New Roman" w:eastAsia="Times New Roman" w:hAnsi="Times New Roman" w:cs="Times New Roman"/>
                                        <w:sz w:val="24"/>
                                        <w:szCs w:val="24"/>
                                      </w:rPr>
                                      <w:t>va_mathcoach</w:t>
                                    </w:r>
                                    <w:proofErr w:type="spellEnd"/>
                                    <w:r w:rsidRPr="00B76585">
                                      <w:rPr>
                                        <w:rFonts w:ascii="Times New Roman" w:eastAsia="Times New Roman" w:hAnsi="Times New Roman" w:cs="Times New Roman"/>
                                        <w:sz w:val="24"/>
                                        <w:szCs w:val="24"/>
                                      </w:rPr>
                                      <w:t>.</w:t>
                                    </w:r>
                                  </w:p>
                                  <w:p w:rsidR="00B76585" w:rsidRPr="00B76585" w:rsidRDefault="00B76585" w:rsidP="00B76585">
                                    <w:pPr>
                                      <w:spacing w:after="0" w:line="240" w:lineRule="auto"/>
                                      <w:jc w:val="center"/>
                                      <w:rPr>
                                        <w:rFonts w:ascii="Times New Roman" w:eastAsia="Times New Roman" w:hAnsi="Times New Roman" w:cs="Times New Roman"/>
                                        <w:sz w:val="24"/>
                                        <w:szCs w:val="24"/>
                                      </w:rPr>
                                    </w:pPr>
                                    <w:r w:rsidRPr="00B76585">
                                      <w:rPr>
                                        <w:rFonts w:ascii="Times New Roman" w:eastAsia="Times New Roman" w:hAnsi="Times New Roman" w:cs="Times New Roman"/>
                                        <w:sz w:val="24"/>
                                        <w:szCs w:val="24"/>
                                      </w:rPr>
                                      <w:t>         </w:t>
                                    </w:r>
                                  </w:p>
                                </w:tc>
                              </w:tr>
                            </w:tbl>
                            <w:p w:rsidR="00B76585" w:rsidRPr="00B76585" w:rsidRDefault="00B76585" w:rsidP="00B76585">
                              <w:pPr>
                                <w:spacing w:after="210" w:line="240" w:lineRule="auto"/>
                                <w:rPr>
                                  <w:rFonts w:ascii="Times New Roman" w:eastAsia="Times New Roman" w:hAnsi="Times New Roman" w:cs="Times New Roman"/>
                                  <w:i/>
                                  <w:iCs/>
                                  <w:sz w:val="20"/>
                                  <w:szCs w:val="20"/>
                                </w:rPr>
                              </w:pPr>
                            </w:p>
                            <w:p w:rsidR="00B76585" w:rsidRPr="00B76585" w:rsidRDefault="00B76585" w:rsidP="00B76585">
                              <w:pPr>
                                <w:spacing w:after="210" w:line="240" w:lineRule="auto"/>
                                <w:jc w:val="center"/>
                                <w:rPr>
                                  <w:rFonts w:ascii="Times New Roman" w:eastAsia="Times New Roman" w:hAnsi="Times New Roman" w:cs="Times New Roman"/>
                                  <w:i/>
                                  <w:iCs/>
                                  <w:sz w:val="20"/>
                                  <w:szCs w:val="20"/>
                                </w:rPr>
                              </w:pPr>
                              <w:r w:rsidRPr="00B76585">
                                <w:rPr>
                                  <w:rFonts w:ascii="Times New Roman" w:eastAsia="Times New Roman" w:hAnsi="Times New Roman" w:cs="Times New Roman"/>
                                  <w:i/>
                                  <w:iCs/>
                                  <w:noProof/>
                                  <w:sz w:val="20"/>
                                  <w:szCs w:val="20"/>
                                </w:rPr>
                                <w:drawing>
                                  <wp:inline distT="0" distB="0" distL="0" distR="0">
                                    <wp:extent cx="2381250" cy="2333625"/>
                                    <wp:effectExtent l="0" t="0" r="0" b="9525"/>
                                    <wp:docPr id="1" name="Picture 1" descr="http://vacms.org/resources/Pictures/coaching_n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cms.org/resources/Pictures/coaching_nex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33625"/>
                                            </a:xfrm>
                                            <a:prstGeom prst="rect">
                                              <a:avLst/>
                                            </a:prstGeom>
                                            <a:noFill/>
                                            <a:ln>
                                              <a:noFill/>
                                            </a:ln>
                                          </pic:spPr>
                                        </pic:pic>
                                      </a:graphicData>
                                    </a:graphic>
                                  </wp:inline>
                                </w:drawing>
                              </w: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rPr>
                      <w:rFonts w:ascii="Times New Roman" w:eastAsia="Times New Roman" w:hAnsi="Times New Roman" w:cs="Times New Roman"/>
                      <w:sz w:val="24"/>
                      <w:szCs w:val="24"/>
                    </w:rPr>
                  </w:pPr>
                </w:p>
              </w:tc>
            </w:tr>
          </w:tbl>
          <w:p w:rsidR="00B76585" w:rsidRPr="00B76585" w:rsidRDefault="00B76585" w:rsidP="00B76585">
            <w:pPr>
              <w:spacing w:after="0" w:line="240" w:lineRule="auto"/>
              <w:jc w:val="center"/>
              <w:rPr>
                <w:rFonts w:ascii="Times New Roman" w:eastAsia="Times New Roman" w:hAnsi="Times New Roman" w:cs="Times New Roman"/>
                <w:sz w:val="24"/>
                <w:szCs w:val="24"/>
              </w:rPr>
            </w:pPr>
          </w:p>
        </w:tc>
      </w:tr>
    </w:tbl>
    <w:p w:rsidR="00B76585" w:rsidRDefault="00B76585">
      <w:bookmarkStart w:id="0" w:name="_GoBack"/>
      <w:bookmarkEnd w:id="0"/>
    </w:p>
    <w:sectPr w:rsidR="00B7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5"/>
    <w:rsid w:val="00B7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55836-87E8-4B13-8C64-1E1FF1C6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65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765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58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6585"/>
    <w:rPr>
      <w:rFonts w:ascii="Times New Roman" w:eastAsia="Times New Roman" w:hAnsi="Times New Roman" w:cs="Times New Roman"/>
      <w:b/>
      <w:bCs/>
      <w:sz w:val="24"/>
      <w:szCs w:val="24"/>
    </w:rPr>
  </w:style>
  <w:style w:type="paragraph" w:customStyle="1" w:styleId="wacaption">
    <w:name w:val="wacaption"/>
    <w:basedOn w:val="Normal"/>
    <w:rsid w:val="00B765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6585"/>
    <w:rPr>
      <w:i/>
      <w:iCs/>
    </w:rPr>
  </w:style>
  <w:style w:type="paragraph" w:styleId="NormalWeb">
    <w:name w:val="Normal (Web)"/>
    <w:basedOn w:val="Normal"/>
    <w:uiPriority w:val="99"/>
    <w:semiHidden/>
    <w:unhideWhenUsed/>
    <w:rsid w:val="00B765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585"/>
    <w:rPr>
      <w:color w:val="0000FF"/>
      <w:u w:val="single"/>
    </w:rPr>
  </w:style>
  <w:style w:type="character" w:styleId="Strong">
    <w:name w:val="Strong"/>
    <w:basedOn w:val="DefaultParagraphFont"/>
    <w:uiPriority w:val="22"/>
    <w:qFormat/>
    <w:rsid w:val="00B76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7679">
      <w:bodyDiv w:val="1"/>
      <w:marLeft w:val="0"/>
      <w:marRight w:val="0"/>
      <w:marTop w:val="0"/>
      <w:marBottom w:val="0"/>
      <w:divBdr>
        <w:top w:val="none" w:sz="0" w:space="0" w:color="auto"/>
        <w:left w:val="none" w:sz="0" w:space="0" w:color="auto"/>
        <w:bottom w:val="none" w:sz="0" w:space="0" w:color="auto"/>
        <w:right w:val="none" w:sz="0" w:space="0" w:color="auto"/>
      </w:divBdr>
      <w:divsChild>
        <w:div w:id="592471599">
          <w:marLeft w:val="0"/>
          <w:marRight w:val="0"/>
          <w:marTop w:val="0"/>
          <w:marBottom w:val="0"/>
          <w:divBdr>
            <w:top w:val="none" w:sz="0" w:space="0" w:color="auto"/>
            <w:left w:val="none" w:sz="0" w:space="0" w:color="auto"/>
            <w:bottom w:val="none" w:sz="0" w:space="0" w:color="auto"/>
            <w:right w:val="none" w:sz="0" w:space="0" w:color="auto"/>
          </w:divBdr>
        </w:div>
        <w:div w:id="1833523166">
          <w:marLeft w:val="0"/>
          <w:marRight w:val="0"/>
          <w:marTop w:val="0"/>
          <w:marBottom w:val="0"/>
          <w:divBdr>
            <w:top w:val="none" w:sz="0" w:space="0" w:color="auto"/>
            <w:left w:val="none" w:sz="0" w:space="0" w:color="auto"/>
            <w:bottom w:val="none" w:sz="0" w:space="0" w:color="auto"/>
            <w:right w:val="none" w:sz="0" w:space="0" w:color="auto"/>
          </w:divBdr>
          <w:divsChild>
            <w:div w:id="355160680">
              <w:marLeft w:val="0"/>
              <w:marRight w:val="0"/>
              <w:marTop w:val="0"/>
              <w:marBottom w:val="0"/>
              <w:divBdr>
                <w:top w:val="none" w:sz="0" w:space="0" w:color="auto"/>
                <w:left w:val="none" w:sz="0" w:space="0" w:color="auto"/>
                <w:bottom w:val="none" w:sz="0" w:space="0" w:color="auto"/>
                <w:right w:val="none" w:sz="0" w:space="0" w:color="auto"/>
              </w:divBdr>
            </w:div>
          </w:divsChild>
        </w:div>
        <w:div w:id="1224834728">
          <w:marLeft w:val="0"/>
          <w:marRight w:val="0"/>
          <w:marTop w:val="0"/>
          <w:marBottom w:val="0"/>
          <w:divBdr>
            <w:top w:val="none" w:sz="0" w:space="0" w:color="auto"/>
            <w:left w:val="none" w:sz="0" w:space="0" w:color="auto"/>
            <w:bottom w:val="none" w:sz="0" w:space="0" w:color="auto"/>
            <w:right w:val="none" w:sz="0" w:space="0" w:color="auto"/>
          </w:divBdr>
          <w:divsChild>
            <w:div w:id="2075735781">
              <w:marLeft w:val="0"/>
              <w:marRight w:val="0"/>
              <w:marTop w:val="0"/>
              <w:marBottom w:val="0"/>
              <w:divBdr>
                <w:top w:val="none" w:sz="0" w:space="0" w:color="auto"/>
                <w:left w:val="none" w:sz="0" w:space="0" w:color="auto"/>
                <w:bottom w:val="none" w:sz="0" w:space="0" w:color="auto"/>
                <w:right w:val="none" w:sz="0" w:space="0" w:color="auto"/>
              </w:divBdr>
            </w:div>
            <w:div w:id="47997097">
              <w:marLeft w:val="0"/>
              <w:marRight w:val="0"/>
              <w:marTop w:val="0"/>
              <w:marBottom w:val="0"/>
              <w:divBdr>
                <w:top w:val="none" w:sz="0" w:space="0" w:color="auto"/>
                <w:left w:val="none" w:sz="0" w:space="0" w:color="auto"/>
                <w:bottom w:val="none" w:sz="0" w:space="0" w:color="auto"/>
                <w:right w:val="none" w:sz="0" w:space="0" w:color="auto"/>
              </w:divBdr>
            </w:div>
          </w:divsChild>
        </w:div>
        <w:div w:id="32392478">
          <w:marLeft w:val="0"/>
          <w:marRight w:val="0"/>
          <w:marTop w:val="0"/>
          <w:marBottom w:val="0"/>
          <w:divBdr>
            <w:top w:val="none" w:sz="0" w:space="0" w:color="auto"/>
            <w:left w:val="none" w:sz="0" w:space="0" w:color="auto"/>
            <w:bottom w:val="none" w:sz="0" w:space="0" w:color="auto"/>
            <w:right w:val="none" w:sz="0" w:space="0" w:color="auto"/>
          </w:divBdr>
          <w:divsChild>
            <w:div w:id="114793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3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visualizing-number-combinations" TargetMode="External"/><Relationship Id="rId13" Type="http://schemas.openxmlformats.org/officeDocument/2006/relationships/hyperlink" Target="https://www.ket.org/education/sitelet/scalecity/index.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drive.google.com/file/d/0B5gIt1fNaUALOTVDUmNiRE1XQ0U/view?usp=shar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oe.virginia.gov/testing/sol/standards_docs/mathematics/2016/index.shtml" TargetMode="External"/><Relationship Id="rId5" Type="http://schemas.openxmlformats.org/officeDocument/2006/relationships/hyperlink" Target="http://vacms.org/" TargetMode="External"/><Relationship Id="rId15" Type="http://schemas.openxmlformats.org/officeDocument/2006/relationships/image" Target="media/image5.jpeg"/><Relationship Id="rId10" Type="http://schemas.openxmlformats.org/officeDocument/2006/relationships/hyperlink" Target="http://www.doe.virginia.gov/testing/sol/standards_docs/mathematics/2016/index.s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va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lovinmath@gmail.com</dc:creator>
  <cp:keywords/>
  <dc:description/>
  <cp:lastModifiedBy>lovinmath@gmail.com</cp:lastModifiedBy>
  <cp:revision>1</cp:revision>
  <dcterms:created xsi:type="dcterms:W3CDTF">2017-10-01T13:56:00Z</dcterms:created>
  <dcterms:modified xsi:type="dcterms:W3CDTF">2017-10-01T13:57:00Z</dcterms:modified>
</cp:coreProperties>
</file>